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749D" w14:textId="77777777" w:rsidR="00FE067E" w:rsidRDefault="003C6034" w:rsidP="00CC1F3B">
      <w:pPr>
        <w:pStyle w:val="TitlePageOrigin"/>
      </w:pPr>
      <w:r>
        <w:rPr>
          <w:caps w:val="0"/>
        </w:rPr>
        <w:t>WEST VIRGINIA LEGISLATURE</w:t>
      </w:r>
    </w:p>
    <w:p w14:paraId="454B861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D6354F9" w14:textId="77777777" w:rsidR="00CD36CF" w:rsidRDefault="00667255" w:rsidP="00CC1F3B">
      <w:pPr>
        <w:pStyle w:val="TitlePageBillPrefix"/>
      </w:pPr>
      <w:sdt>
        <w:sdtPr>
          <w:tag w:val="IntroDate"/>
          <w:id w:val="-1236936958"/>
          <w:placeholder>
            <w:docPart w:val="3E6491CC65954EFA8D4CD090D2B91E4B"/>
          </w:placeholder>
          <w:text/>
        </w:sdtPr>
        <w:sdtEndPr/>
        <w:sdtContent>
          <w:r w:rsidR="00AE48A0">
            <w:t>Introduced</w:t>
          </w:r>
        </w:sdtContent>
      </w:sdt>
    </w:p>
    <w:p w14:paraId="66BFDEFF" w14:textId="4855066D" w:rsidR="00CD36CF" w:rsidRDefault="00667255" w:rsidP="00CC1F3B">
      <w:pPr>
        <w:pStyle w:val="BillNumber"/>
      </w:pPr>
      <w:sdt>
        <w:sdtPr>
          <w:tag w:val="Chamber"/>
          <w:id w:val="893011969"/>
          <w:lock w:val="sdtLocked"/>
          <w:placeholder>
            <w:docPart w:val="9C18E396507A4237B3F410E1116E38AB"/>
          </w:placeholder>
          <w:dropDownList>
            <w:listItem w:displayText="House" w:value="House"/>
            <w:listItem w:displayText="Senate" w:value="Senate"/>
          </w:dropDownList>
        </w:sdtPr>
        <w:sdtEndPr/>
        <w:sdtContent>
          <w:r w:rsidR="00882EDF">
            <w:t>Senate</w:t>
          </w:r>
        </w:sdtContent>
      </w:sdt>
      <w:r w:rsidR="00303684">
        <w:t xml:space="preserve"> </w:t>
      </w:r>
      <w:r w:rsidR="00CD36CF">
        <w:t xml:space="preserve">Bill </w:t>
      </w:r>
      <w:sdt>
        <w:sdtPr>
          <w:tag w:val="BNum"/>
          <w:id w:val="1645317809"/>
          <w:lock w:val="sdtLocked"/>
          <w:placeholder>
            <w:docPart w:val="0D4791B9131B4F59B56AAAD830925FCD"/>
          </w:placeholder>
          <w:text/>
        </w:sdtPr>
        <w:sdtEndPr/>
        <w:sdtContent>
          <w:r w:rsidR="00DD2EC3">
            <w:t>888</w:t>
          </w:r>
        </w:sdtContent>
      </w:sdt>
    </w:p>
    <w:p w14:paraId="69DAD74B" w14:textId="7FD969F6" w:rsidR="00CD36CF" w:rsidRDefault="00CD36CF" w:rsidP="00CC1F3B">
      <w:pPr>
        <w:pStyle w:val="Sponsors"/>
      </w:pPr>
      <w:r>
        <w:t xml:space="preserve">By </w:t>
      </w:r>
      <w:sdt>
        <w:sdtPr>
          <w:tag w:val="Sponsors"/>
          <w:id w:val="1589585889"/>
          <w:placeholder>
            <w:docPart w:val="0AEAA07844594DC9BF90C37FB99D9981"/>
          </w:placeholder>
          <w:text w:multiLine="1"/>
        </w:sdtPr>
        <w:sdtEndPr/>
        <w:sdtContent>
          <w:r w:rsidR="00882EDF">
            <w:t>Senator</w:t>
          </w:r>
          <w:r w:rsidR="00B548CB">
            <w:t>s</w:t>
          </w:r>
          <w:r w:rsidR="00882EDF">
            <w:t xml:space="preserve"> Rose</w:t>
          </w:r>
          <w:r w:rsidR="00B548CB">
            <w:t>, Rucker, Tarr</w:t>
          </w:r>
          <w:r w:rsidR="00690330">
            <w:t>, and Chapman</w:t>
          </w:r>
        </w:sdtContent>
      </w:sdt>
    </w:p>
    <w:p w14:paraId="28EBC725" w14:textId="77777777" w:rsidR="00B4335A" w:rsidRDefault="00CD36CF" w:rsidP="00CC1F3B">
      <w:pPr>
        <w:pStyle w:val="References"/>
        <w:sectPr w:rsidR="00B4335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85802061D6245E0B940DB48F1931FD5"/>
          </w:placeholder>
          <w:text w:multiLine="1"/>
        </w:sdtPr>
        <w:sdtEndPr/>
        <w:sdtContent>
          <w:r w:rsidR="00093AB0">
            <w:t>Introduced</w:t>
          </w:r>
          <w:r w:rsidR="00DD2EC3">
            <w:t xml:space="preserve"> February 9, 2026</w:t>
          </w:r>
          <w:r w:rsidR="00093AB0">
            <w:t>; referred</w:t>
          </w:r>
          <w:r w:rsidR="00093AB0">
            <w:br/>
            <w:t xml:space="preserve">to the Committee on </w:t>
          </w:r>
          <w:r w:rsidR="00C977B2">
            <w:t>the Judiciary</w:t>
          </w:r>
        </w:sdtContent>
      </w:sdt>
      <w:r>
        <w:t>]</w:t>
      </w:r>
    </w:p>
    <w:p w14:paraId="0B823F5A" w14:textId="11D210E1" w:rsidR="00E831B3" w:rsidRDefault="00E831B3" w:rsidP="00CC1F3B">
      <w:pPr>
        <w:pStyle w:val="References"/>
      </w:pPr>
    </w:p>
    <w:p w14:paraId="1EC510C7" w14:textId="442CF846" w:rsidR="00303684" w:rsidRDefault="0000526A" w:rsidP="00B72416">
      <w:pPr>
        <w:pStyle w:val="TitleSection"/>
        <w:spacing w:line="504" w:lineRule="auto"/>
      </w:pPr>
      <w:r>
        <w:lastRenderedPageBreak/>
        <w:t>A BILL</w:t>
      </w:r>
      <w:r w:rsidR="00882EDF">
        <w:t xml:space="preserve"> to amend the Code of West Virginia, 1931, as amended</w:t>
      </w:r>
      <w:r w:rsidR="00DD2EC3">
        <w:t>,</w:t>
      </w:r>
      <w:r w:rsidR="00882EDF">
        <w:t xml:space="preserve"> </w:t>
      </w:r>
      <w:r w:rsidR="00DD2EC3">
        <w:t>by a</w:t>
      </w:r>
      <w:r w:rsidR="00882EDF">
        <w:t>dd</w:t>
      </w:r>
      <w:r w:rsidR="00DD2EC3">
        <w:t>ing</w:t>
      </w:r>
      <w:r w:rsidR="00882EDF">
        <w:t xml:space="preserve"> a new article designated </w:t>
      </w:r>
      <w:r w:rsidR="00882EDF">
        <w:rPr>
          <w:rFonts w:cs="Arial"/>
        </w:rPr>
        <w:t>§</w:t>
      </w:r>
      <w:r w:rsidR="00882EDF">
        <w:t xml:space="preserve">55-22-1, </w:t>
      </w:r>
      <w:r w:rsidR="00882EDF">
        <w:rPr>
          <w:rFonts w:cs="Arial"/>
        </w:rPr>
        <w:t xml:space="preserve">§55-22-2, §55-22-3, §55-22-4, §55-22-5, §55-22-6, §55-22-7, and §55-22-8, relating to </w:t>
      </w:r>
      <w:r w:rsidR="004207AC">
        <w:rPr>
          <w:rFonts w:cs="Arial"/>
        </w:rPr>
        <w:t>creatin</w:t>
      </w:r>
      <w:r w:rsidR="00DD2EC3">
        <w:rPr>
          <w:rFonts w:cs="Arial"/>
        </w:rPr>
        <w:t>g</w:t>
      </w:r>
      <w:r w:rsidR="004207AC">
        <w:rPr>
          <w:rFonts w:cs="Arial"/>
        </w:rPr>
        <w:t xml:space="preserve"> of</w:t>
      </w:r>
      <w:r w:rsidR="00882EDF">
        <w:rPr>
          <w:rFonts w:cs="Arial"/>
        </w:rPr>
        <w:t xml:space="preserve"> the Judicial Deference Reform Act; stating a purpose; setting forth definitions; prohibiting judicial deference to state agency interpretations; addressing interpretive ambiguity; </w:t>
      </w:r>
      <w:r w:rsidR="004207AC">
        <w:rPr>
          <w:rFonts w:cs="Arial"/>
        </w:rPr>
        <w:t xml:space="preserve">specifying </w:t>
      </w:r>
      <w:r w:rsidR="00882EDF">
        <w:rPr>
          <w:rFonts w:cs="Arial"/>
        </w:rPr>
        <w:t>applicability</w:t>
      </w:r>
      <w:r w:rsidR="004207AC">
        <w:rPr>
          <w:rFonts w:cs="Arial"/>
        </w:rPr>
        <w:t xml:space="preserve"> of the </w:t>
      </w:r>
      <w:r w:rsidR="00DD2EC3">
        <w:rPr>
          <w:rFonts w:cs="Arial"/>
        </w:rPr>
        <w:t>a</w:t>
      </w:r>
      <w:r w:rsidR="004207AC">
        <w:rPr>
          <w:rFonts w:cs="Arial"/>
        </w:rPr>
        <w:t>ct</w:t>
      </w:r>
      <w:r w:rsidR="00882EDF">
        <w:rPr>
          <w:rFonts w:cs="Arial"/>
        </w:rPr>
        <w:t>; providing for severability; and providing an effective date.</w:t>
      </w:r>
    </w:p>
    <w:p w14:paraId="092154CC" w14:textId="77777777" w:rsidR="00303684" w:rsidRDefault="00303684" w:rsidP="00B72416">
      <w:pPr>
        <w:pStyle w:val="EnactingClause"/>
        <w:spacing w:line="504" w:lineRule="auto"/>
      </w:pPr>
      <w:r>
        <w:t>Be it enacted by the Legislature of West Virginia:</w:t>
      </w:r>
    </w:p>
    <w:p w14:paraId="5EBED9EB" w14:textId="77777777" w:rsidR="003C6034" w:rsidRDefault="003C6034" w:rsidP="00B72416">
      <w:pPr>
        <w:pStyle w:val="EnactingClause"/>
        <w:spacing w:line="504" w:lineRule="auto"/>
        <w:sectPr w:rsidR="003C6034" w:rsidSect="00B4335A">
          <w:pgSz w:w="12240" w:h="15840" w:code="1"/>
          <w:pgMar w:top="1440" w:right="1440" w:bottom="1440" w:left="1440" w:header="720" w:footer="720" w:gutter="0"/>
          <w:lnNumType w:countBy="1" w:restart="newSection"/>
          <w:pgNumType w:start="0"/>
          <w:cols w:space="720"/>
          <w:titlePg/>
          <w:docGrid w:linePitch="360"/>
        </w:sectPr>
      </w:pPr>
    </w:p>
    <w:p w14:paraId="60FF48B8" w14:textId="77777777" w:rsidR="00882EDF" w:rsidRPr="00882EDF" w:rsidRDefault="00882EDF" w:rsidP="00B72416">
      <w:pPr>
        <w:suppressLineNumbers/>
        <w:spacing w:line="504" w:lineRule="auto"/>
        <w:ind w:left="720" w:hanging="720"/>
        <w:jc w:val="both"/>
        <w:outlineLvl w:val="1"/>
        <w:rPr>
          <w:rFonts w:cs="Arial"/>
          <w:b/>
          <w:color w:val="auto"/>
          <w:sz w:val="24"/>
          <w:u w:val="single"/>
        </w:rPr>
      </w:pPr>
      <w:r w:rsidRPr="00882EDF">
        <w:rPr>
          <w:rFonts w:cs="Arial"/>
          <w:b/>
          <w:color w:val="auto"/>
          <w:sz w:val="24"/>
          <w:u w:val="single"/>
        </w:rPr>
        <w:t>ARTICLE 22. JUDICIAL DEFERENCE REFORM ACT.</w:t>
      </w:r>
    </w:p>
    <w:p w14:paraId="3C95A8FD" w14:textId="77777777" w:rsidR="00882EDF" w:rsidRPr="00882EDF" w:rsidRDefault="00882EDF" w:rsidP="00B72416">
      <w:pPr>
        <w:suppressLineNumbers/>
        <w:spacing w:line="504" w:lineRule="auto"/>
        <w:ind w:left="720" w:hanging="720"/>
        <w:jc w:val="both"/>
        <w:outlineLvl w:val="3"/>
        <w:rPr>
          <w:rFonts w:cs="Arial"/>
          <w:b/>
          <w:color w:val="auto"/>
          <w:u w:val="single"/>
        </w:rPr>
      </w:pPr>
      <w:r w:rsidRPr="00882EDF">
        <w:rPr>
          <w:rFonts w:cs="Arial"/>
          <w:b/>
          <w:color w:val="auto"/>
          <w:u w:val="single"/>
        </w:rPr>
        <w:t>§55-22-1. Short title.</w:t>
      </w:r>
    </w:p>
    <w:p w14:paraId="5480CC33" w14:textId="2F6595E2" w:rsidR="00882EDF" w:rsidRPr="00882EDF" w:rsidRDefault="00882EDF" w:rsidP="00B72416">
      <w:pPr>
        <w:spacing w:line="504" w:lineRule="auto"/>
        <w:ind w:firstLine="750"/>
        <w:jc w:val="both"/>
        <w:outlineLvl w:val="4"/>
        <w:rPr>
          <w:rFonts w:cs="Arial"/>
          <w:color w:val="auto"/>
          <w:u w:val="single"/>
        </w:rPr>
      </w:pPr>
      <w:r w:rsidRPr="00882EDF">
        <w:rPr>
          <w:rFonts w:cs="Arial"/>
          <w:color w:val="auto"/>
          <w:u w:val="single"/>
        </w:rPr>
        <w:t>This article shall be known and may be cited as the Judicial Deference Reform Act.</w:t>
      </w:r>
    </w:p>
    <w:p w14:paraId="6C2695A5" w14:textId="77777777" w:rsidR="00882EDF" w:rsidRPr="00882EDF" w:rsidRDefault="00882EDF" w:rsidP="00B72416">
      <w:pPr>
        <w:suppressLineNumbers/>
        <w:spacing w:line="504" w:lineRule="auto"/>
        <w:ind w:left="720" w:hanging="720"/>
        <w:jc w:val="both"/>
        <w:outlineLvl w:val="3"/>
        <w:rPr>
          <w:rFonts w:cs="Arial"/>
          <w:b/>
          <w:color w:val="auto"/>
          <w:u w:val="single"/>
        </w:rPr>
      </w:pPr>
      <w:r w:rsidRPr="00882EDF">
        <w:rPr>
          <w:rFonts w:cs="Arial"/>
          <w:b/>
          <w:color w:val="auto"/>
          <w:u w:val="single"/>
        </w:rPr>
        <w:t>§55-22-2. Purpose.</w:t>
      </w:r>
    </w:p>
    <w:p w14:paraId="519F9F14" w14:textId="77777777" w:rsidR="00882EDF" w:rsidRPr="00882EDF" w:rsidRDefault="00882EDF" w:rsidP="00B72416">
      <w:pPr>
        <w:spacing w:line="504" w:lineRule="auto"/>
        <w:ind w:firstLine="750"/>
        <w:jc w:val="both"/>
        <w:outlineLvl w:val="4"/>
        <w:rPr>
          <w:rFonts w:cs="Arial"/>
          <w:color w:val="auto"/>
          <w:u w:val="single"/>
        </w:rPr>
        <w:sectPr w:rsidR="00882EDF" w:rsidRPr="00882EDF" w:rsidSect="00DF199D">
          <w:type w:val="continuous"/>
          <w:pgSz w:w="12240" w:h="15840" w:code="1"/>
          <w:pgMar w:top="1440" w:right="1440" w:bottom="1440" w:left="1440" w:header="720" w:footer="720" w:gutter="0"/>
          <w:lnNumType w:countBy="1" w:restart="newSection"/>
          <w:cols w:space="720"/>
          <w:titlePg/>
          <w:docGrid w:linePitch="360"/>
        </w:sectPr>
      </w:pPr>
    </w:p>
    <w:p w14:paraId="1F47C1F8" w14:textId="77777777" w:rsidR="00882EDF" w:rsidRPr="00882EDF" w:rsidRDefault="00882EDF" w:rsidP="00B72416">
      <w:pPr>
        <w:spacing w:line="504" w:lineRule="auto"/>
        <w:ind w:firstLine="750"/>
        <w:jc w:val="both"/>
        <w:outlineLvl w:val="4"/>
        <w:rPr>
          <w:rFonts w:cs="Arial"/>
          <w:color w:val="auto"/>
          <w:u w:val="single"/>
        </w:rPr>
      </w:pPr>
      <w:r w:rsidRPr="00882EDF">
        <w:rPr>
          <w:rFonts w:cs="Arial"/>
          <w:color w:val="auto"/>
          <w:u w:val="single"/>
        </w:rPr>
        <w:t>The purpose of this article is to ensure that state courts and administrative hearing officers interpret state statutes, regulations, and sub-regulatory documents independently, without deference to state agency interpretations, and to prioritize individual liberty and limited agency authority in resolving interpretive ambiguities.</w:t>
      </w:r>
    </w:p>
    <w:p w14:paraId="1EE917A5" w14:textId="77777777" w:rsidR="00882EDF" w:rsidRPr="00882EDF" w:rsidRDefault="00882EDF" w:rsidP="00B72416">
      <w:pPr>
        <w:suppressLineNumbers/>
        <w:spacing w:line="504" w:lineRule="auto"/>
        <w:ind w:left="720" w:hanging="720"/>
        <w:jc w:val="both"/>
        <w:outlineLvl w:val="3"/>
        <w:rPr>
          <w:rFonts w:cs="Arial"/>
          <w:b/>
          <w:color w:val="auto"/>
          <w:u w:val="single"/>
        </w:rPr>
      </w:pPr>
      <w:r w:rsidRPr="00882EDF">
        <w:rPr>
          <w:rFonts w:cs="Arial"/>
          <w:b/>
          <w:color w:val="auto"/>
          <w:u w:val="single"/>
        </w:rPr>
        <w:t>§55-22-3. Definitions.</w:t>
      </w:r>
    </w:p>
    <w:p w14:paraId="4200D098" w14:textId="77777777" w:rsidR="00882EDF" w:rsidRPr="00882EDF" w:rsidRDefault="00882EDF" w:rsidP="00B72416">
      <w:pPr>
        <w:spacing w:line="504" w:lineRule="auto"/>
        <w:ind w:firstLine="750"/>
        <w:jc w:val="both"/>
        <w:outlineLvl w:val="4"/>
        <w:rPr>
          <w:rFonts w:cs="Arial"/>
          <w:color w:val="auto"/>
          <w:u w:val="single"/>
        </w:rPr>
        <w:sectPr w:rsidR="00882EDF" w:rsidRPr="00882EDF" w:rsidSect="00882EDF">
          <w:type w:val="continuous"/>
          <w:pgSz w:w="12240" w:h="15840" w:code="1"/>
          <w:pgMar w:top="1440" w:right="1440" w:bottom="1440" w:left="1440" w:header="720" w:footer="720" w:gutter="0"/>
          <w:lnNumType w:countBy="1" w:restart="newSection"/>
          <w:cols w:space="720"/>
          <w:titlePg/>
          <w:docGrid w:linePitch="360"/>
        </w:sectPr>
      </w:pPr>
    </w:p>
    <w:p w14:paraId="6F3CD288" w14:textId="77777777" w:rsidR="00882EDF" w:rsidRPr="00882EDF" w:rsidRDefault="00882EDF" w:rsidP="00B72416">
      <w:pPr>
        <w:spacing w:line="504" w:lineRule="auto"/>
        <w:ind w:firstLine="750"/>
        <w:jc w:val="both"/>
        <w:outlineLvl w:val="4"/>
        <w:rPr>
          <w:rFonts w:cs="Arial"/>
          <w:color w:val="auto"/>
          <w:u w:val="single"/>
        </w:rPr>
      </w:pPr>
      <w:r w:rsidRPr="00882EDF">
        <w:rPr>
          <w:rFonts w:cs="Arial"/>
          <w:color w:val="auto"/>
          <w:u w:val="single"/>
        </w:rPr>
        <w:t>For the purposes of this article:</w:t>
      </w:r>
    </w:p>
    <w:p w14:paraId="0B659116" w14:textId="48B12056" w:rsidR="00882EDF" w:rsidRPr="00882EDF" w:rsidRDefault="00882EDF" w:rsidP="00B72416">
      <w:pPr>
        <w:spacing w:line="504" w:lineRule="auto"/>
        <w:ind w:firstLine="750"/>
        <w:jc w:val="both"/>
        <w:rPr>
          <w:rFonts w:cs="Arial"/>
          <w:color w:val="auto"/>
          <w:u w:val="single"/>
        </w:rPr>
      </w:pPr>
      <w:r w:rsidRPr="00882EDF">
        <w:rPr>
          <w:rFonts w:cs="Arial"/>
          <w:color w:val="auto"/>
          <w:u w:val="single"/>
        </w:rPr>
        <w:t>(</w:t>
      </w:r>
      <w:r w:rsidR="006635D9">
        <w:rPr>
          <w:rFonts w:cs="Arial"/>
          <w:color w:val="auto"/>
          <w:u w:val="single"/>
        </w:rPr>
        <w:t>1</w:t>
      </w:r>
      <w:r w:rsidRPr="00882EDF">
        <w:rPr>
          <w:rFonts w:cs="Arial"/>
          <w:color w:val="auto"/>
          <w:u w:val="single"/>
        </w:rPr>
        <w:t xml:space="preserve">) </w:t>
      </w:r>
      <w:r w:rsidR="001616D6">
        <w:rPr>
          <w:rFonts w:cs="Arial"/>
          <w:color w:val="auto"/>
          <w:u w:val="single"/>
        </w:rPr>
        <w:t>"</w:t>
      </w:r>
      <w:r w:rsidRPr="00882EDF">
        <w:rPr>
          <w:rFonts w:cs="Arial"/>
          <w:color w:val="auto"/>
          <w:u w:val="single"/>
        </w:rPr>
        <w:t>State agency</w:t>
      </w:r>
      <w:r w:rsidR="001616D6">
        <w:rPr>
          <w:rFonts w:cs="Arial"/>
          <w:color w:val="auto"/>
          <w:u w:val="single"/>
        </w:rPr>
        <w:t>"</w:t>
      </w:r>
      <w:r w:rsidRPr="00882EDF">
        <w:rPr>
          <w:rFonts w:cs="Arial"/>
          <w:color w:val="auto"/>
          <w:u w:val="single"/>
        </w:rPr>
        <w:t xml:space="preserve"> means any department, division, board, commission, or other entity of the state government authorized to promulgate regulations or issue sub-regulatory documents.</w:t>
      </w:r>
    </w:p>
    <w:p w14:paraId="527BBF33" w14:textId="479710A1" w:rsidR="00882EDF" w:rsidRPr="00882EDF" w:rsidRDefault="00882EDF" w:rsidP="00B72416">
      <w:pPr>
        <w:spacing w:line="504" w:lineRule="auto"/>
        <w:ind w:firstLine="750"/>
        <w:jc w:val="both"/>
        <w:rPr>
          <w:rFonts w:cs="Arial"/>
          <w:color w:val="auto"/>
          <w:u w:val="single"/>
        </w:rPr>
      </w:pPr>
      <w:r w:rsidRPr="00882EDF">
        <w:rPr>
          <w:rFonts w:cs="Arial"/>
          <w:color w:val="auto"/>
          <w:u w:val="single"/>
        </w:rPr>
        <w:t>(</w:t>
      </w:r>
      <w:r w:rsidR="006635D9">
        <w:rPr>
          <w:rFonts w:cs="Arial"/>
          <w:color w:val="auto"/>
          <w:u w:val="single"/>
        </w:rPr>
        <w:t>2</w:t>
      </w:r>
      <w:r w:rsidRPr="00882EDF">
        <w:rPr>
          <w:rFonts w:cs="Arial"/>
          <w:color w:val="auto"/>
          <w:u w:val="single"/>
        </w:rPr>
        <w:t xml:space="preserve">) </w:t>
      </w:r>
      <w:r w:rsidR="001616D6">
        <w:rPr>
          <w:rFonts w:cs="Arial"/>
          <w:color w:val="auto"/>
          <w:u w:val="single"/>
        </w:rPr>
        <w:t>"</w:t>
      </w:r>
      <w:r w:rsidRPr="00882EDF">
        <w:rPr>
          <w:rFonts w:cs="Arial"/>
          <w:color w:val="auto"/>
          <w:u w:val="single"/>
        </w:rPr>
        <w:t>Sub-regulatory document</w:t>
      </w:r>
      <w:r w:rsidR="001616D6">
        <w:rPr>
          <w:rFonts w:cs="Arial"/>
          <w:color w:val="auto"/>
          <w:u w:val="single"/>
        </w:rPr>
        <w:t>"</w:t>
      </w:r>
      <w:r w:rsidRPr="00882EDF">
        <w:rPr>
          <w:rFonts w:cs="Arial"/>
          <w:color w:val="auto"/>
          <w:u w:val="single"/>
        </w:rPr>
        <w:t xml:space="preserve"> means any guidance, memorandum, policy statement, or other interpretive document issued by a state agency that is not promulgated as a regulation pursuant to the West Virginia Administrative Procedures Act.</w:t>
      </w:r>
    </w:p>
    <w:p w14:paraId="7062E8EE" w14:textId="1C51C076" w:rsidR="00882EDF" w:rsidRPr="00882EDF" w:rsidRDefault="00882EDF" w:rsidP="00B72416">
      <w:pPr>
        <w:spacing w:line="504" w:lineRule="auto"/>
        <w:ind w:firstLine="750"/>
        <w:jc w:val="both"/>
        <w:rPr>
          <w:rFonts w:cs="Arial"/>
          <w:color w:val="auto"/>
          <w:u w:val="single"/>
        </w:rPr>
      </w:pPr>
      <w:r w:rsidRPr="00882EDF">
        <w:rPr>
          <w:rFonts w:cs="Arial"/>
          <w:color w:val="auto"/>
          <w:u w:val="single"/>
        </w:rPr>
        <w:t>(</w:t>
      </w:r>
      <w:r w:rsidR="006635D9">
        <w:rPr>
          <w:rFonts w:cs="Arial"/>
          <w:color w:val="auto"/>
          <w:u w:val="single"/>
        </w:rPr>
        <w:t>3</w:t>
      </w:r>
      <w:r w:rsidRPr="00882EDF">
        <w:rPr>
          <w:rFonts w:cs="Arial"/>
          <w:color w:val="auto"/>
          <w:u w:val="single"/>
        </w:rPr>
        <w:t xml:space="preserve">) </w:t>
      </w:r>
      <w:r w:rsidR="001616D6">
        <w:rPr>
          <w:rFonts w:cs="Arial"/>
          <w:color w:val="auto"/>
          <w:u w:val="single"/>
        </w:rPr>
        <w:t>"</w:t>
      </w:r>
      <w:r w:rsidRPr="00882EDF">
        <w:rPr>
          <w:rFonts w:cs="Arial"/>
          <w:color w:val="auto"/>
          <w:u w:val="single"/>
        </w:rPr>
        <w:t>De novo</w:t>
      </w:r>
      <w:r w:rsidR="001616D6">
        <w:rPr>
          <w:rFonts w:cs="Arial"/>
          <w:color w:val="auto"/>
          <w:u w:val="single"/>
        </w:rPr>
        <w:t>"</w:t>
      </w:r>
      <w:r w:rsidRPr="00882EDF">
        <w:rPr>
          <w:rFonts w:cs="Arial"/>
          <w:color w:val="auto"/>
          <w:u w:val="single"/>
        </w:rPr>
        <w:t xml:space="preserve"> means an independent judicial or administrative review of a statute, regulation, or sub-regulatory document without deference to a state agency’s interpretation.</w:t>
      </w:r>
    </w:p>
    <w:p w14:paraId="1D8EF7C3" w14:textId="77777777" w:rsidR="00882EDF" w:rsidRPr="00882EDF" w:rsidRDefault="00882EDF" w:rsidP="00DB51D4">
      <w:pPr>
        <w:suppressLineNumbers/>
        <w:spacing w:line="456" w:lineRule="auto"/>
        <w:ind w:left="720" w:hanging="720"/>
        <w:jc w:val="both"/>
        <w:outlineLvl w:val="3"/>
        <w:rPr>
          <w:rFonts w:cs="Arial"/>
          <w:b/>
          <w:color w:val="auto"/>
          <w:u w:val="single"/>
        </w:rPr>
      </w:pPr>
      <w:r w:rsidRPr="00882EDF">
        <w:rPr>
          <w:rFonts w:cs="Arial"/>
          <w:b/>
          <w:color w:val="auto"/>
          <w:u w:val="single"/>
        </w:rPr>
        <w:lastRenderedPageBreak/>
        <w:t>§55-22-4. Prohibition on judicial deference to state agency interpretations.</w:t>
      </w:r>
    </w:p>
    <w:p w14:paraId="1D2FD8B3" w14:textId="77777777" w:rsidR="00882EDF" w:rsidRPr="00882EDF" w:rsidRDefault="00882EDF" w:rsidP="00DB51D4">
      <w:pPr>
        <w:spacing w:line="456" w:lineRule="auto"/>
        <w:ind w:firstLine="750"/>
        <w:jc w:val="both"/>
        <w:outlineLvl w:val="4"/>
        <w:rPr>
          <w:rFonts w:cs="Arial"/>
          <w:color w:val="auto"/>
          <w:u w:val="single"/>
        </w:rPr>
        <w:sectPr w:rsidR="00882EDF" w:rsidRPr="00882EDF" w:rsidSect="00882EDF">
          <w:type w:val="continuous"/>
          <w:pgSz w:w="12240" w:h="15840" w:code="1"/>
          <w:pgMar w:top="1440" w:right="1440" w:bottom="1440" w:left="1440" w:header="720" w:footer="720" w:gutter="0"/>
          <w:lnNumType w:countBy="1" w:restart="newSection"/>
          <w:cols w:space="720"/>
          <w:titlePg/>
          <w:docGrid w:linePitch="360"/>
        </w:sectPr>
      </w:pPr>
    </w:p>
    <w:p w14:paraId="10C3ACB7" w14:textId="77777777" w:rsidR="00882EDF" w:rsidRPr="00882EDF" w:rsidRDefault="00882EDF" w:rsidP="00DB51D4">
      <w:pPr>
        <w:spacing w:line="456" w:lineRule="auto"/>
        <w:ind w:firstLine="750"/>
        <w:jc w:val="both"/>
        <w:outlineLvl w:val="4"/>
        <w:rPr>
          <w:rFonts w:cs="Arial"/>
          <w:color w:val="auto"/>
          <w:u w:val="single"/>
        </w:rPr>
      </w:pPr>
      <w:r w:rsidRPr="00882EDF">
        <w:rPr>
          <w:rFonts w:cs="Arial"/>
          <w:color w:val="auto"/>
          <w:u w:val="single"/>
        </w:rPr>
        <w:t>(a) In any action involving the interpretation of a state statute, regulation, or sub-regulatory document, a state court or an officer presiding over an administrative action shall not defer to a state agency’s interpretation of such statute, regulation, or sub-regulatory document.</w:t>
      </w:r>
    </w:p>
    <w:p w14:paraId="3DC596C9" w14:textId="0CD23017" w:rsidR="00882EDF" w:rsidRPr="00882EDF" w:rsidRDefault="00882EDF" w:rsidP="00DB51D4">
      <w:pPr>
        <w:spacing w:line="456" w:lineRule="auto"/>
        <w:ind w:firstLine="750"/>
        <w:jc w:val="both"/>
        <w:rPr>
          <w:rFonts w:cs="Arial"/>
          <w:color w:val="auto"/>
          <w:u w:val="single"/>
        </w:rPr>
      </w:pPr>
      <w:r w:rsidRPr="00882EDF">
        <w:rPr>
          <w:rFonts w:cs="Arial"/>
          <w:color w:val="auto"/>
          <w:u w:val="single"/>
        </w:rPr>
        <w:t>(b) The court or hearing officer shall interpret the meaning and effect of the statute, regulation, or sub-regulatory document de novo, applying all customary tools of statutory and regulatory interpretation, including</w:t>
      </w:r>
      <w:r w:rsidR="00BC6AC2">
        <w:rPr>
          <w:rFonts w:cs="Arial"/>
          <w:color w:val="auto"/>
          <w:u w:val="single"/>
        </w:rPr>
        <w:t>,</w:t>
      </w:r>
      <w:r w:rsidRPr="00882EDF">
        <w:rPr>
          <w:rFonts w:cs="Arial"/>
          <w:color w:val="auto"/>
          <w:u w:val="single"/>
        </w:rPr>
        <w:t xml:space="preserve"> but not limited to</w:t>
      </w:r>
      <w:r w:rsidR="00BC6AC2">
        <w:rPr>
          <w:rFonts w:cs="Arial"/>
          <w:color w:val="auto"/>
          <w:u w:val="single"/>
        </w:rPr>
        <w:t>,</w:t>
      </w:r>
      <w:r w:rsidRPr="00882EDF">
        <w:rPr>
          <w:rFonts w:cs="Arial"/>
          <w:color w:val="auto"/>
          <w:u w:val="single"/>
        </w:rPr>
        <w:t xml:space="preserve"> textual analysis, legislative intent, and applicable precedent.</w:t>
      </w:r>
    </w:p>
    <w:p w14:paraId="60368099" w14:textId="77777777" w:rsidR="00882EDF" w:rsidRPr="00882EDF" w:rsidRDefault="00882EDF" w:rsidP="00DB51D4">
      <w:pPr>
        <w:suppressLineNumbers/>
        <w:spacing w:line="456" w:lineRule="auto"/>
        <w:ind w:left="720" w:hanging="720"/>
        <w:jc w:val="both"/>
        <w:outlineLvl w:val="3"/>
        <w:rPr>
          <w:rFonts w:cs="Arial"/>
          <w:b/>
          <w:color w:val="auto"/>
          <w:u w:val="single"/>
        </w:rPr>
      </w:pPr>
      <w:r w:rsidRPr="00882EDF">
        <w:rPr>
          <w:rFonts w:cs="Arial"/>
          <w:b/>
          <w:color w:val="auto"/>
          <w:u w:val="single"/>
        </w:rPr>
        <w:t>§55-22-5. Resolution of interpretive ambiguity.</w:t>
      </w:r>
    </w:p>
    <w:p w14:paraId="0BA32352" w14:textId="77777777" w:rsidR="00882EDF" w:rsidRPr="00882EDF" w:rsidRDefault="00882EDF" w:rsidP="00DB51D4">
      <w:pPr>
        <w:spacing w:line="456" w:lineRule="auto"/>
        <w:ind w:firstLine="750"/>
        <w:jc w:val="both"/>
        <w:outlineLvl w:val="4"/>
        <w:rPr>
          <w:rFonts w:cs="Arial"/>
          <w:color w:val="auto"/>
          <w:u w:val="single"/>
        </w:rPr>
        <w:sectPr w:rsidR="00882EDF" w:rsidRPr="00882EDF" w:rsidSect="00882EDF">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5F056C9" w14:textId="77777777" w:rsidR="00882EDF" w:rsidRPr="00882EDF" w:rsidRDefault="00882EDF" w:rsidP="00DB51D4">
      <w:pPr>
        <w:spacing w:line="456" w:lineRule="auto"/>
        <w:ind w:firstLine="750"/>
        <w:jc w:val="both"/>
        <w:outlineLvl w:val="4"/>
        <w:rPr>
          <w:rFonts w:cs="Arial"/>
          <w:color w:val="auto"/>
          <w:u w:val="single"/>
        </w:rPr>
      </w:pPr>
      <w:r w:rsidRPr="00882EDF">
        <w:rPr>
          <w:rFonts w:cs="Arial"/>
          <w:color w:val="auto"/>
          <w:u w:val="single"/>
        </w:rPr>
        <w:t>(a) In any action brought by or against a state agency, after applying all customary tools of interpretation, if any ambiguity remains in the meaning or effect of a state statute, regulation, or sub-regulatory document, the court or hearing officer shall resolve such ambiguity in favor of a reasonable interpretation that:</w:t>
      </w:r>
    </w:p>
    <w:p w14:paraId="103E1166" w14:textId="77777777" w:rsidR="00882EDF" w:rsidRPr="00882EDF" w:rsidRDefault="00882EDF" w:rsidP="00DB51D4">
      <w:pPr>
        <w:spacing w:line="456" w:lineRule="auto"/>
        <w:ind w:firstLine="750"/>
        <w:jc w:val="both"/>
        <w:rPr>
          <w:rFonts w:cs="Arial"/>
          <w:color w:val="auto"/>
          <w:u w:val="single"/>
        </w:rPr>
      </w:pPr>
      <w:r w:rsidRPr="00882EDF">
        <w:rPr>
          <w:rFonts w:cs="Arial"/>
          <w:color w:val="auto"/>
          <w:u w:val="single"/>
        </w:rPr>
        <w:t>(1) Limits the scope of the state agency’s power and authority; and</w:t>
      </w:r>
    </w:p>
    <w:p w14:paraId="382E2842" w14:textId="77777777" w:rsidR="00882EDF" w:rsidRPr="00882EDF" w:rsidRDefault="00882EDF" w:rsidP="00DB51D4">
      <w:pPr>
        <w:spacing w:line="456" w:lineRule="auto"/>
        <w:ind w:firstLine="750"/>
        <w:jc w:val="both"/>
        <w:rPr>
          <w:rFonts w:cs="Arial"/>
          <w:color w:val="auto"/>
          <w:u w:val="single"/>
        </w:rPr>
      </w:pPr>
      <w:r w:rsidRPr="00882EDF">
        <w:rPr>
          <w:rFonts w:cs="Arial"/>
          <w:color w:val="auto"/>
          <w:u w:val="single"/>
        </w:rPr>
        <w:t>(2) Maximizes the protection of individual liberty.</w:t>
      </w:r>
    </w:p>
    <w:p w14:paraId="5DCB3A46" w14:textId="77777777" w:rsidR="00882EDF" w:rsidRPr="00882EDF" w:rsidRDefault="00882EDF" w:rsidP="00DB51D4">
      <w:pPr>
        <w:spacing w:line="456" w:lineRule="auto"/>
        <w:ind w:firstLine="750"/>
        <w:jc w:val="both"/>
        <w:rPr>
          <w:rFonts w:cs="Arial"/>
          <w:color w:val="auto"/>
          <w:u w:val="single"/>
        </w:rPr>
      </w:pPr>
      <w:r w:rsidRPr="00882EDF">
        <w:rPr>
          <w:rFonts w:cs="Arial"/>
          <w:color w:val="auto"/>
          <w:u w:val="single"/>
        </w:rPr>
        <w:t>(b) The court or hearing officer shall not presume that ambiguity in a statute, regulation, or sub-regulatory document grants discretionary authority to a state agency.</w:t>
      </w:r>
    </w:p>
    <w:p w14:paraId="58878883" w14:textId="77777777" w:rsidR="00882EDF" w:rsidRPr="00882EDF" w:rsidRDefault="00882EDF" w:rsidP="00DB51D4">
      <w:pPr>
        <w:suppressLineNumbers/>
        <w:spacing w:line="456" w:lineRule="auto"/>
        <w:ind w:left="720" w:hanging="720"/>
        <w:jc w:val="both"/>
        <w:outlineLvl w:val="3"/>
        <w:rPr>
          <w:rFonts w:cs="Arial"/>
          <w:b/>
          <w:color w:val="auto"/>
          <w:u w:val="single"/>
        </w:rPr>
      </w:pPr>
      <w:r w:rsidRPr="00882EDF">
        <w:rPr>
          <w:rFonts w:cs="Arial"/>
          <w:b/>
          <w:color w:val="auto"/>
          <w:u w:val="single"/>
        </w:rPr>
        <w:t>§55-22-6. Applicability.</w:t>
      </w:r>
    </w:p>
    <w:p w14:paraId="2652E082" w14:textId="77777777" w:rsidR="00882EDF" w:rsidRPr="00882EDF" w:rsidRDefault="00882EDF" w:rsidP="00DB51D4">
      <w:pPr>
        <w:spacing w:line="456" w:lineRule="auto"/>
        <w:ind w:firstLine="750"/>
        <w:jc w:val="both"/>
        <w:outlineLvl w:val="4"/>
        <w:rPr>
          <w:rFonts w:cs="Arial"/>
          <w:color w:val="auto"/>
          <w:u w:val="single"/>
        </w:rPr>
        <w:sectPr w:rsidR="00882EDF" w:rsidRPr="00882EDF" w:rsidSect="00882EDF">
          <w:type w:val="continuous"/>
          <w:pgSz w:w="12240" w:h="15840" w:code="1"/>
          <w:pgMar w:top="1440" w:right="1440" w:bottom="1440" w:left="1440" w:header="720" w:footer="720" w:gutter="0"/>
          <w:lnNumType w:countBy="1" w:restart="newSection"/>
          <w:cols w:space="720"/>
          <w:titlePg/>
          <w:docGrid w:linePitch="360"/>
        </w:sectPr>
      </w:pPr>
    </w:p>
    <w:p w14:paraId="628CF7CF" w14:textId="77777777" w:rsidR="00882EDF" w:rsidRPr="00882EDF" w:rsidRDefault="00882EDF" w:rsidP="00DB51D4">
      <w:pPr>
        <w:spacing w:line="456" w:lineRule="auto"/>
        <w:ind w:firstLine="750"/>
        <w:jc w:val="both"/>
        <w:outlineLvl w:val="4"/>
        <w:rPr>
          <w:rFonts w:cs="Arial"/>
          <w:color w:val="auto"/>
          <w:u w:val="single"/>
        </w:rPr>
      </w:pPr>
      <w:r w:rsidRPr="00882EDF">
        <w:rPr>
          <w:rFonts w:cs="Arial"/>
          <w:color w:val="auto"/>
          <w:u w:val="single"/>
        </w:rPr>
        <w:t>(a) This article applies to all actions, suits, and administrative proceedings initiated on or after the effective date of this article.</w:t>
      </w:r>
    </w:p>
    <w:p w14:paraId="550BA175" w14:textId="77777777" w:rsidR="00882EDF" w:rsidRPr="00882EDF" w:rsidRDefault="00882EDF" w:rsidP="00DB51D4">
      <w:pPr>
        <w:spacing w:line="456" w:lineRule="auto"/>
        <w:ind w:firstLine="750"/>
        <w:jc w:val="both"/>
        <w:rPr>
          <w:rFonts w:cs="Arial"/>
          <w:color w:val="auto"/>
          <w:u w:val="single"/>
        </w:rPr>
      </w:pPr>
      <w:r w:rsidRPr="00882EDF">
        <w:rPr>
          <w:rFonts w:cs="Arial"/>
          <w:color w:val="auto"/>
          <w:u w:val="single"/>
        </w:rPr>
        <w:t>(b) This article does not apply to federal statutes, regulations, or actions involving federal agencies, except where state courts or officers are expressly authorized to interpret federal law in a state proceeding.</w:t>
      </w:r>
    </w:p>
    <w:p w14:paraId="3A3DD681" w14:textId="77777777" w:rsidR="00882EDF" w:rsidRPr="00882EDF" w:rsidRDefault="00882EDF" w:rsidP="00DB51D4">
      <w:pPr>
        <w:suppressLineNumbers/>
        <w:spacing w:line="456" w:lineRule="auto"/>
        <w:ind w:left="720" w:hanging="720"/>
        <w:jc w:val="both"/>
        <w:outlineLvl w:val="3"/>
        <w:rPr>
          <w:rFonts w:cs="Arial"/>
          <w:b/>
          <w:color w:val="auto"/>
          <w:u w:val="single"/>
        </w:rPr>
      </w:pPr>
      <w:r w:rsidRPr="00882EDF">
        <w:rPr>
          <w:rFonts w:cs="Arial"/>
          <w:b/>
          <w:color w:val="auto"/>
          <w:u w:val="single"/>
        </w:rPr>
        <w:t>§55-22-7. Severability.</w:t>
      </w:r>
    </w:p>
    <w:p w14:paraId="19F58675" w14:textId="77777777" w:rsidR="00882EDF" w:rsidRPr="00882EDF" w:rsidRDefault="00882EDF" w:rsidP="00B4335A">
      <w:pPr>
        <w:pStyle w:val="SectionBody"/>
        <w:widowControl/>
        <w:rPr>
          <w:u w:val="single"/>
        </w:rPr>
        <w:sectPr w:rsidR="00882EDF" w:rsidRPr="00882EDF" w:rsidSect="00882EDF">
          <w:type w:val="continuous"/>
          <w:pgSz w:w="12240" w:h="15840" w:code="1"/>
          <w:pgMar w:top="1440" w:right="1440" w:bottom="1440" w:left="1440" w:header="720" w:footer="720" w:gutter="0"/>
          <w:lnNumType w:countBy="1" w:restart="newSection"/>
          <w:cols w:space="720"/>
          <w:titlePg/>
          <w:docGrid w:linePitch="360"/>
        </w:sectPr>
      </w:pPr>
    </w:p>
    <w:p w14:paraId="715AD3E6" w14:textId="77777777" w:rsidR="00882EDF" w:rsidRPr="00882EDF" w:rsidRDefault="00882EDF" w:rsidP="00B4335A">
      <w:pPr>
        <w:pStyle w:val="SectionBody"/>
        <w:widowControl/>
        <w:rPr>
          <w:u w:val="single"/>
        </w:rPr>
      </w:pPr>
      <w:r w:rsidRPr="00882EDF">
        <w:rPr>
          <w:u w:val="single"/>
        </w:rPr>
        <w:t>If any provision of this article or its application to any person or circumstance is held invalid, the remainder of the article or the application of the provision to other persons or circumstances shall not be affected.</w:t>
      </w:r>
    </w:p>
    <w:p w14:paraId="448011DF" w14:textId="77777777" w:rsidR="00882EDF" w:rsidRPr="00882EDF" w:rsidRDefault="00882EDF" w:rsidP="00B4335A">
      <w:pPr>
        <w:suppressLineNumbers/>
        <w:ind w:left="720" w:hanging="720"/>
        <w:jc w:val="both"/>
        <w:outlineLvl w:val="3"/>
        <w:rPr>
          <w:rFonts w:cs="Arial"/>
          <w:b/>
          <w:color w:val="auto"/>
          <w:u w:val="single"/>
        </w:rPr>
      </w:pPr>
      <w:r w:rsidRPr="00882EDF">
        <w:rPr>
          <w:rFonts w:cs="Arial"/>
          <w:b/>
          <w:color w:val="auto"/>
          <w:u w:val="single"/>
        </w:rPr>
        <w:lastRenderedPageBreak/>
        <w:t>§55-22-8. Effective date.</w:t>
      </w:r>
    </w:p>
    <w:p w14:paraId="0DBBC582" w14:textId="77777777" w:rsidR="00882EDF" w:rsidRPr="00882EDF" w:rsidRDefault="00882EDF" w:rsidP="00B4335A">
      <w:pPr>
        <w:ind w:firstLine="750"/>
        <w:jc w:val="both"/>
        <w:outlineLvl w:val="4"/>
        <w:rPr>
          <w:rFonts w:cs="Arial"/>
          <w:color w:val="auto"/>
          <w:u w:val="single"/>
        </w:rPr>
        <w:sectPr w:rsidR="00882EDF" w:rsidRPr="00882EDF" w:rsidSect="00882EDF">
          <w:type w:val="continuous"/>
          <w:pgSz w:w="12240" w:h="15840" w:code="1"/>
          <w:pgMar w:top="1440" w:right="1440" w:bottom="1440" w:left="1440" w:header="720" w:footer="720" w:gutter="0"/>
          <w:lnNumType w:countBy="1" w:restart="newSection"/>
          <w:cols w:space="720"/>
          <w:titlePg/>
          <w:docGrid w:linePitch="360"/>
        </w:sectPr>
      </w:pPr>
    </w:p>
    <w:p w14:paraId="5154BDD0" w14:textId="272BADD5" w:rsidR="00C33014" w:rsidRPr="00BC6AC2" w:rsidRDefault="00882EDF" w:rsidP="00B4335A">
      <w:pPr>
        <w:ind w:firstLine="750"/>
        <w:jc w:val="both"/>
        <w:outlineLvl w:val="4"/>
        <w:rPr>
          <w:rFonts w:cs="Arial"/>
          <w:color w:val="auto"/>
          <w:u w:val="single"/>
        </w:rPr>
      </w:pPr>
      <w:r w:rsidRPr="00882EDF">
        <w:rPr>
          <w:rFonts w:cs="Arial"/>
          <w:color w:val="auto"/>
          <w:u w:val="single"/>
        </w:rPr>
        <w:t>This article shall take effect on July 1, 2026.</w:t>
      </w:r>
    </w:p>
    <w:sectPr w:rsidR="00C33014" w:rsidRPr="00BC6AC2" w:rsidSect="00882ED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EF33" w14:textId="77777777" w:rsidR="00882EDF" w:rsidRPr="00B844FE" w:rsidRDefault="00882EDF" w:rsidP="00B844FE">
      <w:r>
        <w:separator/>
      </w:r>
    </w:p>
  </w:endnote>
  <w:endnote w:type="continuationSeparator" w:id="0">
    <w:p w14:paraId="162ADFB0" w14:textId="77777777" w:rsidR="00882EDF" w:rsidRPr="00B844FE" w:rsidRDefault="00882E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4DD9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9EC7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3101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80338"/>
      <w:docPartObj>
        <w:docPartGallery w:val="Page Numbers (Bottom of Page)"/>
        <w:docPartUnique/>
      </w:docPartObj>
    </w:sdtPr>
    <w:sdtEndPr>
      <w:rPr>
        <w:noProof/>
      </w:rPr>
    </w:sdtEndPr>
    <w:sdtContent>
      <w:p w14:paraId="49DEF166" w14:textId="4321D284" w:rsidR="001D57F7" w:rsidRDefault="001D57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47BB1" w14:textId="77777777" w:rsidR="001D57F7" w:rsidRDefault="001D5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3992" w14:textId="77777777" w:rsidR="00882EDF" w:rsidRPr="00B844FE" w:rsidRDefault="00882EDF" w:rsidP="00B844FE">
      <w:r>
        <w:separator/>
      </w:r>
    </w:p>
  </w:footnote>
  <w:footnote w:type="continuationSeparator" w:id="0">
    <w:p w14:paraId="7C62AB8E" w14:textId="77777777" w:rsidR="00882EDF" w:rsidRPr="00B844FE" w:rsidRDefault="00882E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F168" w14:textId="09E54F9C" w:rsidR="002A0269" w:rsidRPr="00B844FE" w:rsidRDefault="00667255">
    <w:pPr>
      <w:pStyle w:val="Header"/>
    </w:pPr>
    <w:sdt>
      <w:sdtPr>
        <w:id w:val="-684364211"/>
        <w:placeholder>
          <w:docPart w:val="9C18E396507A4237B3F410E1116E38A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18E396507A4237B3F410E1116E38AB"/>
        </w:placeholder>
        <w:temporary/>
        <w:showingPlcHdr/>
        <w15:appearance w15:val="hidden"/>
      </w:sdtPr>
      <w:sdtEndPr/>
      <w:sdtContent>
        <w:r w:rsidR="00765A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4D73" w14:textId="25367411" w:rsidR="00E831B3" w:rsidRPr="00765A47" w:rsidRDefault="00765A47" w:rsidP="00765A47">
    <w:pPr>
      <w:pStyle w:val="Header"/>
    </w:pPr>
    <w:r>
      <w:t>Intr SB 888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B6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5EA7" w14:textId="6AE712CB" w:rsidR="001D57F7" w:rsidRPr="00686E9A" w:rsidRDefault="001D57F7" w:rsidP="001D57F7">
    <w:pPr>
      <w:pStyle w:val="HeaderStyle"/>
      <w:rPr>
        <w:sz w:val="22"/>
        <w:szCs w:val="22"/>
      </w:rPr>
    </w:pPr>
    <w:r w:rsidRPr="00686E9A">
      <w:rPr>
        <w:sz w:val="22"/>
        <w:szCs w:val="22"/>
      </w:rPr>
      <w:t xml:space="preserve">Intr </w:t>
    </w:r>
    <w:sdt>
      <w:sdtPr>
        <w:rPr>
          <w:sz w:val="22"/>
          <w:szCs w:val="22"/>
        </w:rPr>
        <w:tag w:val="BNumWH"/>
        <w:id w:val="-1466504985"/>
        <w:text/>
      </w:sdtPr>
      <w:sdtEndPr/>
      <w:sdtContent>
        <w:r>
          <w:rPr>
            <w:sz w:val="22"/>
            <w:szCs w:val="22"/>
          </w:rPr>
          <w:t>SB</w:t>
        </w:r>
      </w:sdtContent>
    </w:sdt>
    <w:r w:rsidRPr="00686E9A">
      <w:rPr>
        <w:sz w:val="22"/>
        <w:szCs w:val="22"/>
      </w:rPr>
      <w:t xml:space="preserve"> </w:t>
    </w:r>
    <w:r w:rsidR="00A65659">
      <w:rPr>
        <w:sz w:val="22"/>
        <w:szCs w:val="22"/>
      </w:rPr>
      <w:t>888</w:t>
    </w:r>
    <w:r w:rsidRPr="00686E9A">
      <w:rPr>
        <w:sz w:val="22"/>
        <w:szCs w:val="22"/>
      </w:rPr>
      <w:ptab w:relativeTo="margin" w:alignment="center" w:leader="none"/>
    </w:r>
    <w:r w:rsidRPr="00686E9A">
      <w:rPr>
        <w:sz w:val="22"/>
        <w:szCs w:val="22"/>
      </w:rPr>
      <w:tab/>
    </w:r>
    <w:sdt>
      <w:sdtPr>
        <w:rPr>
          <w:sz w:val="22"/>
          <w:szCs w:val="22"/>
        </w:rPr>
        <w:alias w:val="CBD Number"/>
        <w:tag w:val="CBD Number"/>
        <w:id w:val="1436633794"/>
        <w:placeholder>
          <w:docPart w:val="F89D481B199B494883775578D499C893"/>
        </w:placeholder>
        <w:showingPlcHdr/>
        <w:text/>
      </w:sdtPr>
      <w:sdtEndPr/>
      <w:sdtContent>
        <w:r w:rsidR="00A65659">
          <w:rPr>
            <w:sz w:val="22"/>
            <w:szCs w:val="22"/>
          </w:rPr>
          <w:t xml:space="preserve">     </w:t>
        </w:r>
      </w:sdtContent>
    </w:sdt>
  </w:p>
  <w:p w14:paraId="5C117252" w14:textId="77777777" w:rsidR="001D57F7" w:rsidRPr="004D3ABE" w:rsidRDefault="001D57F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DF"/>
    <w:rsid w:val="0000526A"/>
    <w:rsid w:val="000573A9"/>
    <w:rsid w:val="00085D22"/>
    <w:rsid w:val="00093AB0"/>
    <w:rsid w:val="000C5C77"/>
    <w:rsid w:val="000E3912"/>
    <w:rsid w:val="0010070F"/>
    <w:rsid w:val="00107054"/>
    <w:rsid w:val="001263AD"/>
    <w:rsid w:val="0015112E"/>
    <w:rsid w:val="001552E7"/>
    <w:rsid w:val="001566B4"/>
    <w:rsid w:val="001616D6"/>
    <w:rsid w:val="00190501"/>
    <w:rsid w:val="001975ED"/>
    <w:rsid w:val="001A66B7"/>
    <w:rsid w:val="001C279E"/>
    <w:rsid w:val="001D459E"/>
    <w:rsid w:val="001D57F7"/>
    <w:rsid w:val="0020151F"/>
    <w:rsid w:val="00211F02"/>
    <w:rsid w:val="0022348D"/>
    <w:rsid w:val="00236825"/>
    <w:rsid w:val="0027011C"/>
    <w:rsid w:val="00274200"/>
    <w:rsid w:val="00275740"/>
    <w:rsid w:val="002A0269"/>
    <w:rsid w:val="00303684"/>
    <w:rsid w:val="003143F5"/>
    <w:rsid w:val="00314854"/>
    <w:rsid w:val="00394191"/>
    <w:rsid w:val="003B3CD1"/>
    <w:rsid w:val="003C51CD"/>
    <w:rsid w:val="003C6034"/>
    <w:rsid w:val="003E2A4F"/>
    <w:rsid w:val="00400B5C"/>
    <w:rsid w:val="004207AC"/>
    <w:rsid w:val="004368E0"/>
    <w:rsid w:val="0048302B"/>
    <w:rsid w:val="004C13DD"/>
    <w:rsid w:val="004D3ABE"/>
    <w:rsid w:val="004D56A5"/>
    <w:rsid w:val="004E3441"/>
    <w:rsid w:val="004E4F2F"/>
    <w:rsid w:val="00500579"/>
    <w:rsid w:val="00572702"/>
    <w:rsid w:val="005A5366"/>
    <w:rsid w:val="00621F55"/>
    <w:rsid w:val="006369EB"/>
    <w:rsid w:val="00637E73"/>
    <w:rsid w:val="006635D9"/>
    <w:rsid w:val="00667255"/>
    <w:rsid w:val="006865E9"/>
    <w:rsid w:val="00686E9A"/>
    <w:rsid w:val="00690330"/>
    <w:rsid w:val="00691F3E"/>
    <w:rsid w:val="00694BFB"/>
    <w:rsid w:val="006A106B"/>
    <w:rsid w:val="006C523D"/>
    <w:rsid w:val="006D4036"/>
    <w:rsid w:val="00765A47"/>
    <w:rsid w:val="00766AD0"/>
    <w:rsid w:val="007A5259"/>
    <w:rsid w:val="007A7081"/>
    <w:rsid w:val="007F1CF5"/>
    <w:rsid w:val="00834EDE"/>
    <w:rsid w:val="008736AA"/>
    <w:rsid w:val="00882EDF"/>
    <w:rsid w:val="008D275D"/>
    <w:rsid w:val="00946186"/>
    <w:rsid w:val="00980327"/>
    <w:rsid w:val="00986478"/>
    <w:rsid w:val="009B5557"/>
    <w:rsid w:val="009F1067"/>
    <w:rsid w:val="00A31E01"/>
    <w:rsid w:val="00A527AD"/>
    <w:rsid w:val="00A65659"/>
    <w:rsid w:val="00A718CF"/>
    <w:rsid w:val="00AA069B"/>
    <w:rsid w:val="00AE48A0"/>
    <w:rsid w:val="00AE61BE"/>
    <w:rsid w:val="00B16F25"/>
    <w:rsid w:val="00B24422"/>
    <w:rsid w:val="00B4335A"/>
    <w:rsid w:val="00B548CB"/>
    <w:rsid w:val="00B66B81"/>
    <w:rsid w:val="00B71E6F"/>
    <w:rsid w:val="00B72416"/>
    <w:rsid w:val="00B80C20"/>
    <w:rsid w:val="00B844FE"/>
    <w:rsid w:val="00B86B4F"/>
    <w:rsid w:val="00BA1F84"/>
    <w:rsid w:val="00BC562B"/>
    <w:rsid w:val="00BC6AC2"/>
    <w:rsid w:val="00C01E08"/>
    <w:rsid w:val="00C33014"/>
    <w:rsid w:val="00C33434"/>
    <w:rsid w:val="00C34869"/>
    <w:rsid w:val="00C42EB6"/>
    <w:rsid w:val="00C62327"/>
    <w:rsid w:val="00C85096"/>
    <w:rsid w:val="00C977B2"/>
    <w:rsid w:val="00CB20EF"/>
    <w:rsid w:val="00CC1F3B"/>
    <w:rsid w:val="00CD12CB"/>
    <w:rsid w:val="00CD36CF"/>
    <w:rsid w:val="00CF1DCA"/>
    <w:rsid w:val="00D1629D"/>
    <w:rsid w:val="00D579FC"/>
    <w:rsid w:val="00D81C16"/>
    <w:rsid w:val="00DB51D4"/>
    <w:rsid w:val="00DD2EC3"/>
    <w:rsid w:val="00DE526B"/>
    <w:rsid w:val="00DF199D"/>
    <w:rsid w:val="00E01542"/>
    <w:rsid w:val="00E365F1"/>
    <w:rsid w:val="00E62F48"/>
    <w:rsid w:val="00E831B3"/>
    <w:rsid w:val="00E94B51"/>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51F3"/>
  <w15:chartTrackingRefBased/>
  <w15:docId w15:val="{614FC380-7194-4546-B7BD-F49F9E78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491CC65954EFA8D4CD090D2B91E4B"/>
        <w:category>
          <w:name w:val="General"/>
          <w:gallery w:val="placeholder"/>
        </w:category>
        <w:types>
          <w:type w:val="bbPlcHdr"/>
        </w:types>
        <w:behaviors>
          <w:behavior w:val="content"/>
        </w:behaviors>
        <w:guid w:val="{B05A67CA-9FCC-4B4A-9D67-CF50D7A9B555}"/>
      </w:docPartPr>
      <w:docPartBody>
        <w:p w:rsidR="00557095" w:rsidRDefault="00557095">
          <w:pPr>
            <w:pStyle w:val="3E6491CC65954EFA8D4CD090D2B91E4B"/>
          </w:pPr>
          <w:r w:rsidRPr="00B844FE">
            <w:t>Prefix Text</w:t>
          </w:r>
        </w:p>
      </w:docPartBody>
    </w:docPart>
    <w:docPart>
      <w:docPartPr>
        <w:name w:val="9C18E396507A4237B3F410E1116E38AB"/>
        <w:category>
          <w:name w:val="General"/>
          <w:gallery w:val="placeholder"/>
        </w:category>
        <w:types>
          <w:type w:val="bbPlcHdr"/>
        </w:types>
        <w:behaviors>
          <w:behavior w:val="content"/>
        </w:behaviors>
        <w:guid w:val="{586C918D-7466-475F-83E4-AC797D6D62BE}"/>
      </w:docPartPr>
      <w:docPartBody>
        <w:p w:rsidR="00557095" w:rsidRDefault="00816C59">
          <w:pPr>
            <w:pStyle w:val="9C18E396507A4237B3F410E1116E38AB"/>
          </w:pPr>
          <w:r w:rsidRPr="00B844FE">
            <w:t>[Type here]</w:t>
          </w:r>
        </w:p>
      </w:docPartBody>
    </w:docPart>
    <w:docPart>
      <w:docPartPr>
        <w:name w:val="0D4791B9131B4F59B56AAAD830925FCD"/>
        <w:category>
          <w:name w:val="General"/>
          <w:gallery w:val="placeholder"/>
        </w:category>
        <w:types>
          <w:type w:val="bbPlcHdr"/>
        </w:types>
        <w:behaviors>
          <w:behavior w:val="content"/>
        </w:behaviors>
        <w:guid w:val="{4B062A1D-636E-46F9-B342-C79390D09CB3}"/>
      </w:docPartPr>
      <w:docPartBody>
        <w:p w:rsidR="00557095" w:rsidRDefault="00557095">
          <w:pPr>
            <w:pStyle w:val="0D4791B9131B4F59B56AAAD830925FCD"/>
          </w:pPr>
          <w:r w:rsidRPr="00B844FE">
            <w:t>Number</w:t>
          </w:r>
        </w:p>
      </w:docPartBody>
    </w:docPart>
    <w:docPart>
      <w:docPartPr>
        <w:name w:val="0AEAA07844594DC9BF90C37FB99D9981"/>
        <w:category>
          <w:name w:val="General"/>
          <w:gallery w:val="placeholder"/>
        </w:category>
        <w:types>
          <w:type w:val="bbPlcHdr"/>
        </w:types>
        <w:behaviors>
          <w:behavior w:val="content"/>
        </w:behaviors>
        <w:guid w:val="{A268A0E7-6A78-420D-B204-244080AF89F4}"/>
      </w:docPartPr>
      <w:docPartBody>
        <w:p w:rsidR="00557095" w:rsidRDefault="00557095">
          <w:pPr>
            <w:pStyle w:val="0AEAA07844594DC9BF90C37FB99D9981"/>
          </w:pPr>
          <w:r w:rsidRPr="00B844FE">
            <w:t>Enter Sponsors Here</w:t>
          </w:r>
        </w:p>
      </w:docPartBody>
    </w:docPart>
    <w:docPart>
      <w:docPartPr>
        <w:name w:val="285802061D6245E0B940DB48F1931FD5"/>
        <w:category>
          <w:name w:val="General"/>
          <w:gallery w:val="placeholder"/>
        </w:category>
        <w:types>
          <w:type w:val="bbPlcHdr"/>
        </w:types>
        <w:behaviors>
          <w:behavior w:val="content"/>
        </w:behaviors>
        <w:guid w:val="{7027C078-5394-43F1-B5A3-C77B66811FC4}"/>
      </w:docPartPr>
      <w:docPartBody>
        <w:p w:rsidR="00557095" w:rsidRDefault="00557095">
          <w:pPr>
            <w:pStyle w:val="285802061D6245E0B940DB48F1931FD5"/>
          </w:pPr>
          <w:r>
            <w:rPr>
              <w:rStyle w:val="PlaceholderText"/>
            </w:rPr>
            <w:t>Enter References</w:t>
          </w:r>
        </w:p>
      </w:docPartBody>
    </w:docPart>
    <w:docPart>
      <w:docPartPr>
        <w:name w:val="F89D481B199B494883775578D499C893"/>
        <w:category>
          <w:name w:val="General"/>
          <w:gallery w:val="placeholder"/>
        </w:category>
        <w:types>
          <w:type w:val="bbPlcHdr"/>
        </w:types>
        <w:behaviors>
          <w:behavior w:val="content"/>
        </w:behaviors>
        <w:guid w:val="{0DDE7313-B90B-495E-804E-92CE1288E12D}"/>
      </w:docPartPr>
      <w:docPartBody>
        <w:p w:rsidR="00816C59" w:rsidRDefault="00816C59" w:rsidP="00816C59">
          <w:pPr>
            <w:pStyle w:val="F89D481B199B494883775578D499C893"/>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95"/>
    <w:rsid w:val="00107054"/>
    <w:rsid w:val="001263AD"/>
    <w:rsid w:val="00190501"/>
    <w:rsid w:val="001975ED"/>
    <w:rsid w:val="00236825"/>
    <w:rsid w:val="003B3CD1"/>
    <w:rsid w:val="0048302B"/>
    <w:rsid w:val="004D56A5"/>
    <w:rsid w:val="00557095"/>
    <w:rsid w:val="00621F55"/>
    <w:rsid w:val="00816C59"/>
    <w:rsid w:val="00C01E08"/>
    <w:rsid w:val="00E9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491CC65954EFA8D4CD090D2B91E4B">
    <w:name w:val="3E6491CC65954EFA8D4CD090D2B91E4B"/>
  </w:style>
  <w:style w:type="paragraph" w:customStyle="1" w:styleId="9C18E396507A4237B3F410E1116E38AB">
    <w:name w:val="9C18E396507A4237B3F410E1116E38AB"/>
  </w:style>
  <w:style w:type="paragraph" w:customStyle="1" w:styleId="0D4791B9131B4F59B56AAAD830925FCD">
    <w:name w:val="0D4791B9131B4F59B56AAAD830925FCD"/>
  </w:style>
  <w:style w:type="paragraph" w:customStyle="1" w:styleId="0AEAA07844594DC9BF90C37FB99D9981">
    <w:name w:val="0AEAA07844594DC9BF90C37FB99D9981"/>
  </w:style>
  <w:style w:type="character" w:styleId="PlaceholderText">
    <w:name w:val="Placeholder Text"/>
    <w:basedOn w:val="DefaultParagraphFont"/>
    <w:uiPriority w:val="99"/>
    <w:semiHidden/>
    <w:rsid w:val="00816C59"/>
    <w:rPr>
      <w:color w:val="808080"/>
    </w:rPr>
  </w:style>
  <w:style w:type="paragraph" w:customStyle="1" w:styleId="285802061D6245E0B940DB48F1931FD5">
    <w:name w:val="285802061D6245E0B940DB48F1931FD5"/>
  </w:style>
  <w:style w:type="paragraph" w:customStyle="1" w:styleId="F89D481B199B494883775578D499C893">
    <w:name w:val="F89D481B199B494883775578D499C893"/>
    <w:rsid w:val="00816C59"/>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2</cp:revision>
  <cp:lastPrinted>2026-02-20T19:04:00Z</cp:lastPrinted>
  <dcterms:created xsi:type="dcterms:W3CDTF">2026-02-20T19:04:00Z</dcterms:created>
  <dcterms:modified xsi:type="dcterms:W3CDTF">2026-02-20T19:04:00Z</dcterms:modified>
</cp:coreProperties>
</file>